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09B71790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after="0" w:line="600" w:lineRule="exact"/>
        <w:ind w:right="0"/>
        <w:jc w:val="center"/>
        <w:textAlignment w:val="auto"/>
        <w:rPr>
          <w:rFonts w:hint="default" w:ascii="黑体" w:hAnsi="黑体" w:eastAsia="黑体" w:cs="黑体"/>
          <w:bCs/>
          <w:kern w:val="0"/>
          <w:sz w:val="32"/>
          <w:szCs w:val="32"/>
          <w:lang w:val="en-US"/>
        </w:rPr>
      </w:pPr>
      <w:r>
        <w:rPr>
          <w:rFonts w:hint="eastAsia" w:ascii="方正小标宋简体" w:hAnsi="方正小标宋简体" w:eastAsia="方正小标宋简体" w:cs="方正小标宋简体"/>
          <w:color w:val="auto"/>
          <w:sz w:val="44"/>
          <w:szCs w:val="44"/>
          <w:lang w:val="en-US" w:eastAsia="zh-CN"/>
        </w:rPr>
        <w:t>新邱区预算绩效管理工作开展情况汇报</w:t>
      </w:r>
    </w:p>
    <w:p w14:paraId="6DBF51E0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after="0" w:line="600" w:lineRule="exact"/>
        <w:ind w:left="0" w:right="0" w:firstLine="680" w:firstLineChars="200"/>
        <w:jc w:val="both"/>
        <w:textAlignment w:val="auto"/>
        <w:rPr>
          <w:rFonts w:hint="default" w:ascii="Times New Roman" w:hAnsi="Times New Roman" w:eastAsia="仿宋_GB2312" w:cs="仿宋_GB2312"/>
          <w:b w:val="0"/>
          <w:bCs w:val="0"/>
          <w:color w:val="auto"/>
          <w:sz w:val="34"/>
          <w:szCs w:val="34"/>
          <w:lang w:val="en-US" w:eastAsia="zh-CN"/>
        </w:rPr>
      </w:pPr>
      <w:r>
        <w:rPr>
          <w:rFonts w:hint="eastAsia" w:ascii="Times New Roman" w:hAnsi="Times New Roman" w:eastAsia="仿宋_GB2312" w:cs="仿宋_GB2312"/>
          <w:b w:val="0"/>
          <w:bCs w:val="0"/>
          <w:color w:val="auto"/>
          <w:sz w:val="34"/>
          <w:szCs w:val="34"/>
          <w:lang w:val="en-US" w:eastAsia="zh-CN"/>
        </w:rPr>
        <w:t>2024年以来，我区深入贯彻落实中央、省、市关于“全面实施预算绩效管理”的决策部署，紧紧围绕“提质增效”的核心目标，将绩效理念和方法深度融入预算管理全过程，基本建成了“全方位、全过程、全覆盖”的预算绩效管理体系。通过强化制度保障、优化管理流程、创新工作机制，全区预算绩效管理工作取得了进展，财政资源配置效率和资金使用效益显著提升。现将我区2024年预算绩效管理工作开展情况汇报如下。</w:t>
      </w:r>
    </w:p>
    <w:p w14:paraId="7F651C1A">
      <w:pPr>
        <w:keepNext w:val="0"/>
        <w:keepLines w:val="0"/>
        <w:pageBreakBefore w:val="0"/>
        <w:widowControl/>
        <w:numPr>
          <w:ilvl w:val="0"/>
          <w:numId w:val="1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after="0" w:line="600" w:lineRule="exact"/>
        <w:ind w:left="0" w:leftChars="0" w:right="0" w:firstLine="680" w:firstLineChars="200"/>
        <w:jc w:val="left"/>
        <w:textAlignment w:val="auto"/>
        <w:rPr>
          <w:rFonts w:hint="eastAsia" w:ascii="Times New Roman" w:hAnsi="Times New Roman" w:eastAsia="黑体" w:cs="黑体"/>
          <w:b w:val="0"/>
          <w:bCs w:val="0"/>
          <w:color w:val="auto"/>
          <w:sz w:val="34"/>
          <w:szCs w:val="34"/>
          <w:lang w:val="en-US" w:eastAsia="zh-CN"/>
        </w:rPr>
      </w:pPr>
      <w:r>
        <w:rPr>
          <w:rFonts w:hint="eastAsia" w:ascii="Times New Roman" w:hAnsi="Times New Roman" w:eastAsia="黑体" w:cs="黑体"/>
          <w:b w:val="0"/>
          <w:bCs w:val="0"/>
          <w:color w:val="auto"/>
          <w:sz w:val="34"/>
          <w:szCs w:val="34"/>
          <w:lang w:val="en-US" w:eastAsia="zh-CN"/>
        </w:rPr>
        <w:t>制度体系建设持续完善</w:t>
      </w:r>
    </w:p>
    <w:p w14:paraId="13F72F6D">
      <w:pPr>
        <w:pStyle w:val="2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after="0" w:line="600" w:lineRule="exact"/>
        <w:ind w:left="0" w:leftChars="0" w:firstLine="680" w:firstLineChars="200"/>
        <w:textAlignment w:val="auto"/>
        <w:rPr>
          <w:rFonts w:hint="default" w:ascii="Times New Roman" w:hAnsi="Times New Roman" w:eastAsia="仿宋_GB2312" w:cs="仿宋_GB2312"/>
          <w:b w:val="0"/>
          <w:bCs w:val="0"/>
          <w:color w:val="auto"/>
          <w:kern w:val="2"/>
          <w:sz w:val="34"/>
          <w:szCs w:val="34"/>
          <w:lang w:val="en-US" w:eastAsia="zh-CN" w:bidi="ar-SA"/>
        </w:rPr>
      </w:pPr>
      <w:r>
        <w:rPr>
          <w:rFonts w:hint="eastAsia" w:ascii="Times New Roman" w:hAnsi="Times New Roman" w:eastAsia="仿宋_GB2312" w:cs="仿宋_GB2312"/>
          <w:b w:val="0"/>
          <w:bCs w:val="0"/>
          <w:color w:val="auto"/>
          <w:kern w:val="2"/>
          <w:sz w:val="34"/>
          <w:szCs w:val="34"/>
          <w:lang w:val="en-US" w:eastAsia="zh-CN" w:bidi="ar-SA"/>
        </w:rPr>
        <w:t>制定出台《阜新市新邱区预算绩效结果应用暂行管理办法》进一步规范区级财政预算绩效管理结果应用，切实提高财政资金使用效益。明确“事前评估、目标设定、执行监控、结果应用”全链条管理流程，压实各部门绩效管理主体责任，确保绩效管理要求落实到资金使用终端。</w:t>
      </w:r>
    </w:p>
    <w:p w14:paraId="1F13AD48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after="0" w:line="600" w:lineRule="exact"/>
        <w:ind w:left="0" w:leftChars="0" w:right="0" w:firstLine="680" w:firstLineChars="200"/>
        <w:jc w:val="left"/>
        <w:textAlignment w:val="auto"/>
        <w:rPr>
          <w:rFonts w:hint="eastAsia" w:ascii="Times New Roman" w:hAnsi="Times New Roman" w:eastAsia="黑体" w:cs="黑体"/>
          <w:b w:val="0"/>
          <w:bCs w:val="0"/>
          <w:color w:val="auto"/>
          <w:sz w:val="34"/>
          <w:szCs w:val="34"/>
          <w:lang w:val="en-US" w:eastAsia="zh-CN"/>
        </w:rPr>
      </w:pPr>
      <w:r>
        <w:rPr>
          <w:rFonts w:hint="eastAsia" w:ascii="Times New Roman" w:hAnsi="Times New Roman" w:eastAsia="黑体" w:cs="黑体"/>
          <w:b w:val="0"/>
          <w:bCs w:val="0"/>
          <w:color w:val="auto"/>
          <w:sz w:val="34"/>
          <w:szCs w:val="34"/>
          <w:lang w:val="en-US" w:eastAsia="zh-CN"/>
        </w:rPr>
        <w:t>二、2024年绩效工作开展情况</w:t>
      </w:r>
    </w:p>
    <w:p w14:paraId="4C3AEDC9">
      <w:pPr>
        <w:pStyle w:val="2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after="0" w:line="600" w:lineRule="exact"/>
        <w:ind w:left="0" w:leftChars="0" w:firstLine="680" w:firstLineChars="200"/>
        <w:textAlignment w:val="auto"/>
        <w:rPr>
          <w:rFonts w:hint="eastAsia" w:ascii="Times New Roman" w:hAnsi="Times New Roman" w:eastAsia="仿宋_GB2312" w:cs="仿宋_GB2312"/>
          <w:kern w:val="0"/>
          <w:sz w:val="34"/>
          <w:szCs w:val="34"/>
          <w:lang w:val="en-US" w:eastAsia="zh-CN"/>
        </w:rPr>
      </w:pPr>
      <w:r>
        <w:rPr>
          <w:rFonts w:hint="eastAsia" w:ascii="Times New Roman" w:hAnsi="Times New Roman" w:eastAsia="仿宋_GB2312" w:cs="仿宋_GB2312"/>
          <w:b w:val="0"/>
          <w:bCs w:val="0"/>
          <w:color w:val="auto"/>
          <w:kern w:val="2"/>
          <w:sz w:val="34"/>
          <w:szCs w:val="34"/>
          <w:lang w:val="en-US" w:eastAsia="zh-CN" w:bidi="ar-SA"/>
        </w:rPr>
        <w:t>2024年按照以绩效为根本，建立运行高效的资金管理机制的指导思想，继续提高了新邱区预算绩效管理的系统性、协同性和整体性，推动了新邱区绩效管理工作迈上新台阶。</w:t>
      </w:r>
    </w:p>
    <w:p w14:paraId="20803DAE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snapToGrid w:val="0"/>
        <w:spacing w:line="600" w:lineRule="exact"/>
        <w:ind w:firstLine="680" w:firstLineChars="200"/>
        <w:textAlignment w:val="baseline"/>
        <w:rPr>
          <w:rFonts w:ascii="Times New Roman" w:hAnsi="Times New Roman" w:eastAsia="仿宋_GB2312" w:cs="仿宋_GB2312"/>
          <w:kern w:val="0"/>
          <w:sz w:val="34"/>
          <w:szCs w:val="34"/>
        </w:rPr>
      </w:pPr>
      <w:r>
        <w:rPr>
          <w:rFonts w:hint="eastAsia" w:ascii="Times New Roman" w:hAnsi="Times New Roman" w:eastAsia="楷体_GB2312" w:cs="Times New Roman"/>
          <w:b w:val="0"/>
          <w:bCs/>
          <w:kern w:val="2"/>
          <w:sz w:val="34"/>
          <w:szCs w:val="34"/>
          <w:lang w:val="en-US" w:eastAsia="zh-CN" w:bidi="ar-SA"/>
        </w:rPr>
        <w:t>（一）绩效工作开展方面。</w:t>
      </w:r>
      <w:r>
        <w:rPr>
          <w:rFonts w:hint="eastAsia" w:ascii="Times New Roman" w:hAnsi="Times New Roman" w:eastAsia="仿宋_GB2312" w:cs="仿宋_GB2312"/>
          <w:b w:val="0"/>
          <w:bCs w:val="0"/>
          <w:color w:val="auto"/>
          <w:sz w:val="34"/>
          <w:szCs w:val="34"/>
          <w:lang w:val="en-US" w:eastAsia="zh-CN"/>
        </w:rPr>
        <w:t>2024年初，我区74家预算单位全部完成整体绩效目标申报，并在此过程中加大业务培训力度,建立健全贯穿预算管理全过程的绩效管理制度，加大预算绩效评价结果的应用，切实提高预算管理的科学化、精细化水平，提高财政资金使用效益。</w:t>
      </w:r>
    </w:p>
    <w:p w14:paraId="1174E088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600" w:lineRule="exact"/>
        <w:ind w:firstLine="680" w:firstLineChars="200"/>
        <w:textAlignment w:val="baseline"/>
        <w:rPr>
          <w:rFonts w:hint="default" w:ascii="Times New Roman" w:hAnsi="Times New Roman" w:eastAsia="仿宋_GB2312" w:cs="仿宋_GB2312"/>
          <w:b w:val="0"/>
          <w:bCs w:val="0"/>
          <w:color w:val="auto"/>
          <w:sz w:val="34"/>
          <w:szCs w:val="34"/>
          <w:lang w:val="en-US" w:eastAsia="zh-CN"/>
        </w:rPr>
      </w:pPr>
      <w:r>
        <w:rPr>
          <w:rFonts w:hint="eastAsia" w:ascii="Times New Roman" w:hAnsi="Times New Roman" w:eastAsia="楷体_GB2312" w:cs="Times New Roman"/>
          <w:b w:val="0"/>
          <w:bCs/>
          <w:kern w:val="2"/>
          <w:sz w:val="34"/>
          <w:szCs w:val="34"/>
          <w:lang w:val="en-US" w:eastAsia="zh-CN" w:bidi="ar-SA"/>
        </w:rPr>
        <w:t>（二）组织机构方面。</w:t>
      </w:r>
      <w:r>
        <w:rPr>
          <w:rFonts w:hint="eastAsia" w:ascii="Times New Roman" w:hAnsi="Times New Roman" w:eastAsia="仿宋_GB2312" w:cs="仿宋_GB2312"/>
          <w:b w:val="0"/>
          <w:bCs w:val="0"/>
          <w:color w:val="auto"/>
          <w:sz w:val="34"/>
          <w:szCs w:val="34"/>
          <w:lang w:val="en-US" w:eastAsia="zh-CN"/>
        </w:rPr>
        <w:t>建立了由预算股牵头，其他业务股室积极配合的工作机制，明确了各责任单位工作重点及承担的具体工作职责，规范了工作程序，明确了分阶段工作任务，强化了预算绩效在预算编制、执行中的全过程管理。有利于优化财政支出结构，减少财政支出的随意性和盲目性，将有限资源配置到效益最佳的部门并发挥最大效益。</w:t>
      </w:r>
    </w:p>
    <w:p w14:paraId="111C3683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after="0" w:line="600" w:lineRule="exact"/>
        <w:ind w:left="0" w:leftChars="0" w:right="0" w:firstLine="680" w:firstLineChars="200"/>
        <w:jc w:val="left"/>
        <w:textAlignment w:val="auto"/>
        <w:rPr>
          <w:rFonts w:hint="default" w:ascii="Times New Roman" w:hAnsi="Times New Roman" w:eastAsia="黑体" w:cs="黑体"/>
          <w:b w:val="0"/>
          <w:bCs w:val="0"/>
          <w:color w:val="auto"/>
          <w:sz w:val="34"/>
          <w:szCs w:val="34"/>
          <w:lang w:val="en-US" w:eastAsia="zh-CN"/>
        </w:rPr>
      </w:pPr>
      <w:r>
        <w:rPr>
          <w:rFonts w:hint="eastAsia" w:ascii="Times New Roman" w:hAnsi="Times New Roman" w:eastAsia="黑体" w:cs="黑体"/>
          <w:b w:val="0"/>
          <w:bCs w:val="0"/>
          <w:color w:val="auto"/>
          <w:sz w:val="34"/>
          <w:szCs w:val="34"/>
          <w:lang w:val="en-US" w:eastAsia="zh-CN"/>
        </w:rPr>
        <w:t>三、下一步工作计划</w:t>
      </w:r>
    </w:p>
    <w:p w14:paraId="211A2FBD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600" w:lineRule="exact"/>
        <w:ind w:firstLine="680" w:firstLineChars="200"/>
        <w:textAlignment w:val="baseline"/>
        <w:rPr>
          <w:rFonts w:hint="eastAsia" w:ascii="Times New Roman" w:hAnsi="Times New Roman" w:eastAsia="仿宋_GB2312" w:cs="仿宋_GB2312"/>
          <w:b w:val="0"/>
          <w:bCs w:val="0"/>
          <w:color w:val="auto"/>
          <w:sz w:val="34"/>
          <w:szCs w:val="34"/>
          <w:lang w:val="en-US" w:eastAsia="zh-CN"/>
        </w:rPr>
      </w:pPr>
      <w:r>
        <w:rPr>
          <w:rFonts w:hint="eastAsia" w:ascii="Times New Roman" w:hAnsi="Times New Roman" w:eastAsia="仿宋_GB2312" w:cs="仿宋_GB2312"/>
          <w:b w:val="0"/>
          <w:bCs w:val="0"/>
          <w:color w:val="auto"/>
          <w:sz w:val="34"/>
          <w:szCs w:val="34"/>
          <w:lang w:val="en-US" w:eastAsia="zh-CN"/>
        </w:rPr>
        <w:t>下一步，我区将紧紧围绕</w:t>
      </w:r>
      <w:r>
        <w:rPr>
          <w:rFonts w:hint="default" w:ascii="Times New Roman" w:hAnsi="Times New Roman" w:eastAsia="仿宋_GB2312" w:cs="仿宋_GB2312"/>
          <w:b w:val="0"/>
          <w:bCs w:val="0"/>
          <w:color w:val="auto"/>
          <w:sz w:val="34"/>
          <w:szCs w:val="34"/>
          <w:lang w:val="en-US" w:eastAsia="zh-CN"/>
        </w:rPr>
        <w:t>党的</w:t>
      </w:r>
      <w:r>
        <w:rPr>
          <w:rFonts w:hint="eastAsia" w:ascii="Times New Roman" w:hAnsi="Times New Roman" w:eastAsia="仿宋_GB2312" w:cs="仿宋_GB2312"/>
          <w:b w:val="0"/>
          <w:bCs w:val="0"/>
          <w:color w:val="auto"/>
          <w:sz w:val="34"/>
          <w:szCs w:val="34"/>
          <w:lang w:val="en-US" w:eastAsia="zh-CN"/>
        </w:rPr>
        <w:t>二十</w:t>
      </w:r>
      <w:r>
        <w:rPr>
          <w:rFonts w:hint="default" w:ascii="Times New Roman" w:hAnsi="Times New Roman" w:eastAsia="仿宋_GB2312" w:cs="仿宋_GB2312"/>
          <w:b w:val="0"/>
          <w:bCs w:val="0"/>
          <w:color w:val="auto"/>
          <w:sz w:val="34"/>
          <w:szCs w:val="34"/>
          <w:lang w:val="en-US" w:eastAsia="zh-CN"/>
        </w:rPr>
        <w:t>大</w:t>
      </w:r>
      <w:bookmarkStart w:id="0" w:name="_GoBack"/>
      <w:bookmarkEnd w:id="0"/>
      <w:r>
        <w:rPr>
          <w:rFonts w:hint="default" w:ascii="Times New Roman" w:hAnsi="Times New Roman" w:eastAsia="仿宋_GB2312" w:cs="仿宋_GB2312"/>
          <w:b w:val="0"/>
          <w:bCs w:val="0"/>
          <w:color w:val="auto"/>
          <w:sz w:val="34"/>
          <w:szCs w:val="34"/>
          <w:lang w:val="en-US" w:eastAsia="zh-CN"/>
        </w:rPr>
        <w:t>精神，</w:t>
      </w:r>
      <w:r>
        <w:rPr>
          <w:rFonts w:hint="eastAsia" w:ascii="Times New Roman" w:hAnsi="Times New Roman" w:eastAsia="仿宋_GB2312" w:cs="仿宋_GB2312"/>
          <w:b w:val="0"/>
          <w:bCs w:val="0"/>
          <w:color w:val="auto"/>
          <w:sz w:val="34"/>
          <w:szCs w:val="34"/>
          <w:lang w:val="en-US" w:eastAsia="zh-CN"/>
        </w:rPr>
        <w:t>按照省市财政部门要求，巩固绩效评价工作取得的成果，持续深化预算绩效管理改革，助推财政聚力增效成果逐步显现。</w:t>
      </w:r>
    </w:p>
    <w:p w14:paraId="3FE778EF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600" w:lineRule="exact"/>
        <w:ind w:firstLine="680" w:firstLineChars="200"/>
        <w:textAlignment w:val="baseline"/>
        <w:rPr>
          <w:rFonts w:hint="default" w:ascii="Times New Roman" w:hAnsi="Times New Roman" w:eastAsia="楷体_GB2312" w:cs="楷体_GB2312"/>
          <w:b w:val="0"/>
          <w:bCs w:val="0"/>
          <w:color w:val="auto"/>
          <w:sz w:val="34"/>
          <w:szCs w:val="34"/>
          <w:lang w:val="en-US" w:eastAsia="zh-CN"/>
        </w:rPr>
      </w:pPr>
      <w:r>
        <w:rPr>
          <w:rFonts w:hint="eastAsia" w:ascii="Times New Roman" w:hAnsi="Times New Roman" w:eastAsia="楷体_GB2312" w:cs="楷体_GB2312"/>
          <w:b w:val="0"/>
          <w:bCs w:val="0"/>
          <w:color w:val="auto"/>
          <w:sz w:val="34"/>
          <w:szCs w:val="34"/>
          <w:lang w:val="en-US" w:eastAsia="zh-CN"/>
        </w:rPr>
        <w:t>（一）</w:t>
      </w:r>
      <w:r>
        <w:rPr>
          <w:rFonts w:hint="default" w:ascii="Times New Roman" w:hAnsi="Times New Roman" w:eastAsia="楷体_GB2312" w:cs="楷体_GB2312"/>
          <w:b w:val="0"/>
          <w:bCs w:val="0"/>
          <w:color w:val="auto"/>
          <w:sz w:val="34"/>
          <w:szCs w:val="34"/>
          <w:lang w:val="en-US" w:eastAsia="zh-CN"/>
        </w:rPr>
        <w:t>全面扩大绩效管理总量</w:t>
      </w:r>
    </w:p>
    <w:p w14:paraId="64F23008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600" w:lineRule="exact"/>
        <w:ind w:firstLine="680" w:firstLineChars="200"/>
        <w:textAlignment w:val="baseline"/>
        <w:rPr>
          <w:rFonts w:hint="default" w:ascii="Times New Roman" w:hAnsi="Times New Roman" w:eastAsia="仿宋_GB2312" w:cs="仿宋_GB2312"/>
          <w:b w:val="0"/>
          <w:bCs w:val="0"/>
          <w:color w:val="auto"/>
          <w:sz w:val="34"/>
          <w:szCs w:val="34"/>
          <w:lang w:val="en-US" w:eastAsia="zh-CN"/>
        </w:rPr>
      </w:pPr>
      <w:r>
        <w:rPr>
          <w:rFonts w:hint="default" w:ascii="Times New Roman" w:hAnsi="Times New Roman" w:eastAsia="仿宋_GB2312" w:cs="仿宋_GB2312"/>
          <w:b w:val="0"/>
          <w:bCs w:val="0"/>
          <w:color w:val="auto"/>
          <w:sz w:val="34"/>
          <w:szCs w:val="34"/>
          <w:lang w:val="en-US" w:eastAsia="zh-CN"/>
        </w:rPr>
        <w:t>把绩效监控的量做足。继续要求各预算</w:t>
      </w:r>
      <w:r>
        <w:rPr>
          <w:rFonts w:hint="eastAsia" w:ascii="Times New Roman" w:hAnsi="Times New Roman" w:eastAsia="仿宋_GB2312" w:cs="仿宋_GB2312"/>
          <w:b w:val="0"/>
          <w:bCs w:val="0"/>
          <w:color w:val="auto"/>
          <w:sz w:val="34"/>
          <w:szCs w:val="34"/>
          <w:lang w:val="en-US" w:eastAsia="zh-CN"/>
        </w:rPr>
        <w:t>单位</w:t>
      </w:r>
      <w:r>
        <w:rPr>
          <w:rFonts w:hint="default" w:ascii="Times New Roman" w:hAnsi="Times New Roman" w:eastAsia="仿宋_GB2312" w:cs="仿宋_GB2312"/>
          <w:b w:val="0"/>
          <w:bCs w:val="0"/>
          <w:color w:val="auto"/>
          <w:sz w:val="34"/>
          <w:szCs w:val="34"/>
          <w:lang w:val="en-US" w:eastAsia="zh-CN"/>
        </w:rPr>
        <w:t>严格执行自主监控，组织实施重点中期监控评价，强化预算</w:t>
      </w:r>
      <w:r>
        <w:rPr>
          <w:rFonts w:hint="eastAsia" w:ascii="Times New Roman" w:hAnsi="Times New Roman" w:eastAsia="仿宋_GB2312" w:cs="仿宋_GB2312"/>
          <w:b w:val="0"/>
          <w:bCs w:val="0"/>
          <w:color w:val="auto"/>
          <w:sz w:val="34"/>
          <w:szCs w:val="34"/>
          <w:lang w:val="en-US" w:eastAsia="zh-CN"/>
        </w:rPr>
        <w:t>支出</w:t>
      </w:r>
      <w:r>
        <w:rPr>
          <w:rFonts w:hint="default" w:ascii="Times New Roman" w:hAnsi="Times New Roman" w:eastAsia="仿宋_GB2312" w:cs="仿宋_GB2312"/>
          <w:b w:val="0"/>
          <w:bCs w:val="0"/>
          <w:color w:val="auto"/>
          <w:sz w:val="34"/>
          <w:szCs w:val="34"/>
          <w:lang w:val="en-US" w:eastAsia="zh-CN"/>
        </w:rPr>
        <w:t>执行、完善</w:t>
      </w:r>
      <w:r>
        <w:rPr>
          <w:rFonts w:hint="eastAsia" w:ascii="Times New Roman" w:hAnsi="Times New Roman" w:eastAsia="仿宋_GB2312" w:cs="仿宋_GB2312"/>
          <w:b w:val="0"/>
          <w:bCs w:val="0"/>
          <w:color w:val="auto"/>
          <w:sz w:val="34"/>
          <w:szCs w:val="34"/>
          <w:lang w:val="en-US" w:eastAsia="zh-CN"/>
        </w:rPr>
        <w:t>预算</w:t>
      </w:r>
      <w:r>
        <w:rPr>
          <w:rFonts w:hint="default" w:ascii="Times New Roman" w:hAnsi="Times New Roman" w:eastAsia="仿宋_GB2312" w:cs="仿宋_GB2312"/>
          <w:b w:val="0"/>
          <w:bCs w:val="0"/>
          <w:color w:val="auto"/>
          <w:sz w:val="34"/>
          <w:szCs w:val="34"/>
          <w:lang w:val="en-US" w:eastAsia="zh-CN"/>
        </w:rPr>
        <w:t>支出计划</w:t>
      </w:r>
      <w:r>
        <w:rPr>
          <w:rFonts w:hint="eastAsia" w:ascii="Times New Roman" w:hAnsi="Times New Roman" w:eastAsia="仿宋_GB2312" w:cs="仿宋_GB2312"/>
          <w:b w:val="0"/>
          <w:bCs w:val="0"/>
          <w:color w:val="auto"/>
          <w:sz w:val="34"/>
          <w:szCs w:val="34"/>
          <w:lang w:val="en-US" w:eastAsia="zh-CN"/>
        </w:rPr>
        <w:t>、</w:t>
      </w:r>
      <w:r>
        <w:rPr>
          <w:rFonts w:hint="default" w:ascii="Times New Roman" w:hAnsi="Times New Roman" w:eastAsia="仿宋_GB2312" w:cs="仿宋_GB2312"/>
          <w:b w:val="0"/>
          <w:bCs w:val="0"/>
          <w:color w:val="auto"/>
          <w:sz w:val="34"/>
          <w:szCs w:val="34"/>
          <w:lang w:val="en-US" w:eastAsia="zh-CN"/>
        </w:rPr>
        <w:t>督促重点项目绩效目标的实现，对发现绩效偏差</w:t>
      </w:r>
      <w:r>
        <w:rPr>
          <w:rFonts w:hint="eastAsia" w:ascii="Times New Roman" w:hAnsi="Times New Roman" w:eastAsia="仿宋_GB2312" w:cs="仿宋_GB2312"/>
          <w:b w:val="0"/>
          <w:bCs w:val="0"/>
          <w:color w:val="auto"/>
          <w:sz w:val="34"/>
          <w:szCs w:val="34"/>
          <w:lang w:val="en-US" w:eastAsia="zh-CN"/>
        </w:rPr>
        <w:t>，立即查找问题、分析原因、及时纠偏，使预算执行与绩效监控“如影随形”。</w:t>
      </w:r>
    </w:p>
    <w:p w14:paraId="29DDBF74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600" w:lineRule="exact"/>
        <w:ind w:firstLine="680" w:firstLineChars="200"/>
        <w:textAlignment w:val="baseline"/>
        <w:rPr>
          <w:rFonts w:hint="eastAsia" w:ascii="Times New Roman" w:hAnsi="Times New Roman" w:eastAsia="楷体_GB2312" w:cs="楷体_GB2312"/>
          <w:b w:val="0"/>
          <w:bCs w:val="0"/>
          <w:color w:val="auto"/>
          <w:sz w:val="34"/>
          <w:szCs w:val="34"/>
          <w:lang w:val="en-US" w:eastAsia="zh-CN"/>
        </w:rPr>
      </w:pPr>
      <w:r>
        <w:rPr>
          <w:rFonts w:hint="eastAsia" w:ascii="Times New Roman" w:hAnsi="Times New Roman" w:eastAsia="楷体_GB2312" w:cs="楷体_GB2312"/>
          <w:b w:val="0"/>
          <w:bCs w:val="0"/>
          <w:color w:val="auto"/>
          <w:sz w:val="34"/>
          <w:szCs w:val="34"/>
          <w:lang w:val="en-US" w:eastAsia="zh-CN"/>
        </w:rPr>
        <w:t>（二）提升绩效管理效率</w:t>
      </w:r>
    </w:p>
    <w:p w14:paraId="0AB95F79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600" w:lineRule="exact"/>
        <w:ind w:firstLine="680" w:firstLineChars="200"/>
        <w:textAlignment w:val="baseline"/>
        <w:rPr>
          <w:rFonts w:hint="eastAsia" w:ascii="Times New Roman" w:hAnsi="Times New Roman" w:eastAsia="仿宋_GB2312" w:cs="仿宋_GB2312"/>
          <w:b w:val="0"/>
          <w:bCs w:val="0"/>
          <w:color w:val="auto"/>
          <w:sz w:val="34"/>
          <w:szCs w:val="34"/>
          <w:lang w:val="en-US" w:eastAsia="zh-CN"/>
        </w:rPr>
      </w:pPr>
      <w:r>
        <w:rPr>
          <w:rFonts w:hint="eastAsia" w:ascii="Times New Roman" w:hAnsi="Times New Roman" w:eastAsia="仿宋_GB2312" w:cs="仿宋_GB2312"/>
          <w:b w:val="0"/>
          <w:bCs w:val="0"/>
          <w:color w:val="auto"/>
          <w:sz w:val="34"/>
          <w:szCs w:val="34"/>
          <w:lang w:val="en-US" w:eastAsia="zh-CN"/>
        </w:rPr>
        <w:t>完善制度促进管理。以“精、准、细、严”为核心原则，建立完善绩效管理制度以及相关实施细则，规范工作流程。提升绩效管理工作效率，全力打造全过程、全覆盖、全融合的绩效管理新局面。</w:t>
      </w:r>
    </w:p>
    <w:p w14:paraId="089D3531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600" w:lineRule="exact"/>
        <w:ind w:firstLine="680" w:firstLineChars="200"/>
        <w:textAlignment w:val="baseline"/>
        <w:rPr>
          <w:rFonts w:hint="eastAsia" w:ascii="Times New Roman" w:hAnsi="Times New Roman" w:eastAsia="楷体_GB2312" w:cs="楷体_GB2312"/>
          <w:b w:val="0"/>
          <w:bCs w:val="0"/>
          <w:color w:val="auto"/>
          <w:sz w:val="34"/>
          <w:szCs w:val="34"/>
          <w:lang w:val="en-US" w:eastAsia="zh-CN"/>
        </w:rPr>
      </w:pPr>
      <w:r>
        <w:rPr>
          <w:rFonts w:hint="eastAsia" w:ascii="Times New Roman" w:hAnsi="Times New Roman" w:eastAsia="楷体_GB2312" w:cs="楷体_GB2312"/>
          <w:b w:val="0"/>
          <w:bCs w:val="0"/>
          <w:color w:val="auto"/>
          <w:sz w:val="34"/>
          <w:szCs w:val="34"/>
          <w:lang w:val="en-US" w:eastAsia="zh-CN"/>
        </w:rPr>
        <w:t>（三）努力提高专业素养</w:t>
      </w:r>
    </w:p>
    <w:p w14:paraId="069D0F74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600" w:lineRule="exact"/>
        <w:ind w:firstLine="680" w:firstLineChars="200"/>
        <w:textAlignment w:val="baseline"/>
        <w:rPr>
          <w:rFonts w:hint="eastAsia" w:ascii="Times New Roman" w:hAnsi="Times New Roman" w:eastAsia="仿宋_GB2312" w:cs="仿宋_GB2312"/>
          <w:b w:val="0"/>
          <w:bCs w:val="0"/>
          <w:color w:val="auto"/>
          <w:sz w:val="34"/>
          <w:szCs w:val="34"/>
          <w:lang w:val="en-US" w:eastAsia="zh-CN"/>
        </w:rPr>
      </w:pPr>
      <w:r>
        <w:rPr>
          <w:rFonts w:hint="eastAsia" w:ascii="Times New Roman" w:hAnsi="Times New Roman" w:eastAsia="仿宋_GB2312" w:cs="仿宋_GB2312"/>
          <w:b w:val="0"/>
          <w:bCs w:val="0"/>
          <w:color w:val="auto"/>
          <w:sz w:val="34"/>
          <w:szCs w:val="34"/>
          <w:lang w:val="en-US" w:eastAsia="zh-CN"/>
        </w:rPr>
        <w:t>通过组织有针对性、操作性、系统性的培训，切实增强各预算单位主体责任意识，促使业务人员能够有效把握预算绩效管理核心内涵、关键环节、实操要领，解决推进过程中的困惑、难点和问题。</w:t>
      </w:r>
    </w:p>
    <w:p w14:paraId="6079A440">
      <w:pPr>
        <w:pStyle w:val="2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left="0" w:leftChars="0" w:firstLine="680" w:firstLineChars="200"/>
        <w:textAlignment w:val="auto"/>
        <w:rPr>
          <w:rFonts w:hint="default" w:ascii="Times New Roman" w:hAnsi="Times New Roman" w:eastAsia="仿宋_GB2312" w:cs="仿宋_GB2312"/>
          <w:b w:val="0"/>
          <w:bCs w:val="0"/>
          <w:color w:val="auto"/>
          <w:kern w:val="2"/>
          <w:sz w:val="34"/>
          <w:szCs w:val="34"/>
          <w:lang w:val="en-US" w:eastAsia="zh-CN" w:bidi="ar-SA"/>
        </w:rPr>
      </w:pPr>
      <w:r>
        <w:rPr>
          <w:rFonts w:hint="default" w:ascii="Times New Roman" w:hAnsi="Times New Roman" w:eastAsia="仿宋_GB2312" w:cs="仿宋_GB2312"/>
          <w:b w:val="0"/>
          <w:bCs w:val="0"/>
          <w:color w:val="auto"/>
          <w:kern w:val="2"/>
          <w:sz w:val="34"/>
          <w:szCs w:val="34"/>
          <w:lang w:val="en-US" w:eastAsia="zh-CN" w:bidi="ar-SA"/>
        </w:rPr>
        <w:t>我区将坚持“花钱必问效、无效必问责”的理念，持续推动预算绩效管理向纵深发展，切实把有限的财政资金用在紧要处、用在“刀刃”上，为</w:t>
      </w:r>
      <w:r>
        <w:rPr>
          <w:rFonts w:hint="eastAsia" w:ascii="Times New Roman" w:hAnsi="Times New Roman" w:eastAsia="仿宋_GB2312" w:cs="仿宋_GB2312"/>
          <w:b w:val="0"/>
          <w:bCs w:val="0"/>
          <w:color w:val="auto"/>
          <w:kern w:val="2"/>
          <w:sz w:val="34"/>
          <w:szCs w:val="34"/>
          <w:lang w:val="en-US" w:eastAsia="zh-CN" w:bidi="ar-SA"/>
        </w:rPr>
        <w:t>新邱区</w:t>
      </w:r>
      <w:r>
        <w:rPr>
          <w:rFonts w:hint="default" w:ascii="Times New Roman" w:hAnsi="Times New Roman" w:eastAsia="仿宋_GB2312" w:cs="仿宋_GB2312"/>
          <w:b w:val="0"/>
          <w:bCs w:val="0"/>
          <w:color w:val="auto"/>
          <w:kern w:val="2"/>
          <w:sz w:val="34"/>
          <w:szCs w:val="34"/>
          <w:lang w:val="en-US" w:eastAsia="zh-CN" w:bidi="ar-SA"/>
        </w:rPr>
        <w:t>高质量发展提供坚实保障。</w:t>
      </w:r>
    </w:p>
    <w:sectPr>
      <w:footerReference r:id="rId3" w:type="default"/>
      <w:pgSz w:w="11906" w:h="16838"/>
      <w:pgMar w:top="1701" w:right="1531" w:bottom="1701" w:left="1531" w:header="851" w:footer="992" w:gutter="0"/>
      <w:pgNumType w:fmt="decimal"/>
      <w:cols w:space="0" w:num="1"/>
      <w:rtlGutter w:val="0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方正小标宋简体">
    <w:panose1 w:val="03000509000000000000"/>
    <w:charset w:val="86"/>
    <w:family w:val="auto"/>
    <w:pitch w:val="default"/>
    <w:sig w:usb0="00000001" w:usb1="080E0000" w:usb2="00000000" w:usb3="00000000" w:csb0="00040000" w:csb1="00000000"/>
  </w:font>
  <w:font w:name="仿宋_GB2312">
    <w:panose1 w:val="02010609030101010101"/>
    <w:charset w:val="86"/>
    <w:family w:val="modern"/>
    <w:pitch w:val="default"/>
    <w:sig w:usb0="00000001" w:usb1="080E0000" w:usb2="00000000" w:usb3="00000000" w:csb0="00040000" w:csb1="00000000"/>
  </w:font>
  <w:font w:name="楷体_GB2312">
    <w:panose1 w:val="02010609030101010101"/>
    <w:charset w:val="86"/>
    <w:family w:val="modern"/>
    <w:pitch w:val="default"/>
    <w:sig w:usb0="00000001" w:usb1="080E0000" w:usb2="00000000" w:usb3="00000000" w:csb0="00040000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75B84FD4">
    <w:pPr>
      <w:pStyle w:val="3"/>
    </w:pPr>
    <w:r>
      <w:rPr>
        <w:sz w:val="18"/>
      </w:rPr>
      <mc:AlternateContent>
        <mc:Choice Requires="wps">
          <w:drawing>
            <wp:anchor distT="0" distB="0" distL="114300" distR="114300" simplePos="0" relativeHeight="251659264" behindDoc="0" locked="0" layoutInCell="1" allowOverlap="1">
              <wp:simplePos x="0" y="0"/>
              <wp:positionH relativeFrom="margin">
                <wp:align>center</wp:align>
              </wp:positionH>
              <wp:positionV relativeFrom="paragraph">
                <wp:posOffset>0</wp:posOffset>
              </wp:positionV>
              <wp:extent cx="1828800" cy="1828800"/>
              <wp:effectExtent l="0" t="0" r="0" b="0"/>
              <wp:wrapNone/>
              <wp:docPr id="1" name="文本框 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828800" cy="182880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14:paraId="0A7153FD">
                          <w:pPr>
                            <w:bidi w:val="0"/>
                          </w:pPr>
                          <w:r>
                            <w:fldChar w:fldCharType="begin"/>
                          </w:r>
                          <w:r>
                            <w:instrText xml:space="preserve"> PAGE  \* MERGEFORMAT </w:instrText>
                          </w:r>
                          <w:r>
                            <w:fldChar w:fldCharType="separate"/>
                          </w:r>
                          <w:r>
                            <w:t>1</w:t>
                          </w:r>
                          <w:r>
                            <w:fldChar w:fldCharType="end"/>
                          </w:r>
                        </w:p>
                      </w:txbxContent>
                    </wps:txbx>
                    <wps:bodyPr rot="0" spcFirstLastPara="0" vertOverflow="overflow" horzOverflow="overflow" vert="horz" wrap="none" lIns="0" tIns="0" rIns="0" bIns="0" numCol="1" spcCol="0" rtlCol="0" fromWordArt="0" anchor="t" anchorCtr="0" forceAA="0" upright="0" compatLnSpc="1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26" o:spid="_x0000_s1026" o:spt="202" type="#_x0000_t202" style="position:absolute;left:0pt;margin-top:0pt;height:144pt;width:144pt;mso-position-horizontal:center;mso-position-horizontal-relative:margin;mso-wrap-style:none;z-index:251659264;mso-width-relative:page;mso-height-relative:page;" filled="f" stroked="f" coordsize="21600,21600" o:gfxdata="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">
              <v:fill on="f" focussize="0,0"/>
              <v:stroke on="f" weight="0.5pt"/>
              <v:imagedata o:title=""/>
              <o:lock v:ext="edit" aspectratio="f"/>
              <v:textbox inset="0mm,0mm,0mm,0mm" style="mso-fit-shape-to-text:t;">
                <w:txbxContent>
                  <w:p w14:paraId="0A7153FD">
                    <w:pPr>
                      <w:bidi w:val="0"/>
                    </w:pPr>
                    <w:r>
                      <w:fldChar w:fldCharType="begin"/>
                    </w:r>
                    <w:r>
                      <w:instrText xml:space="preserve"> PAGE  \* MERGEFORMAT </w:instrText>
                    </w:r>
                    <w:r>
                      <w:fldChar w:fldCharType="separate"/>
                    </w:r>
                    <w:r>
                      <w:t>1</w:t>
                    </w:r>
                    <w:r>
                      <w:fldChar w:fldCharType="end"/>
                    </w:r>
                  </w:p>
                </w:txbxContent>
              </v:textbox>
            </v:shape>
          </w:pict>
        </mc:Fallback>
      </mc:AlternateContent>
    </w:r>
  </w:p>
</w:ft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DBC1E4BD"/>
    <w:multiLevelType w:val="singleLevel"/>
    <w:tmpl w:val="DBC1E4BD"/>
    <w:lvl w:ilvl="0" w:tentative="0">
      <w:start w:val="1"/>
      <w:numFmt w:val="chineseCounting"/>
      <w:suff w:val="nothing"/>
      <w:lvlText w:val="%1、"/>
      <w:lvlJc w:val="left"/>
      <w:rPr>
        <w:rFonts w:hint="eastAsia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8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Y2NmNjRlNmMwODBhMmE5OGY5ZTQxOTBiNzFlMDVjNmEifQ=="/>
  </w:docVars>
  <w:rsids>
    <w:rsidRoot w:val="0E8B14AD"/>
    <w:rsid w:val="04DD2FFC"/>
    <w:rsid w:val="06BD621D"/>
    <w:rsid w:val="0E8B14AD"/>
    <w:rsid w:val="115D6EAB"/>
    <w:rsid w:val="12D270D2"/>
    <w:rsid w:val="181B2146"/>
    <w:rsid w:val="2BC96E6C"/>
    <w:rsid w:val="2C6229D9"/>
    <w:rsid w:val="39DB525B"/>
    <w:rsid w:val="475B0EE5"/>
    <w:rsid w:val="4A1277D9"/>
    <w:rsid w:val="4B83098E"/>
    <w:rsid w:val="526C3D65"/>
    <w:rsid w:val="5712706A"/>
    <w:rsid w:val="5BF039D7"/>
    <w:rsid w:val="5CAD5A5C"/>
    <w:rsid w:val="67DE72F8"/>
    <w:rsid w:val="76341DF8"/>
    <w:rsid w:val="7D33301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0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qFormat="1"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6">
    <w:name w:val="Default Paragraph Font"/>
    <w:semiHidden/>
    <w:qFormat/>
    <w:uiPriority w:val="0"/>
  </w:style>
  <w:style w:type="table" w:default="1" w:styleId="5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2">
    <w:name w:val="UserStyle_0"/>
    <w:basedOn w:val="1"/>
    <w:qFormat/>
    <w:uiPriority w:val="0"/>
    <w:pPr>
      <w:spacing w:after="120" w:line="480" w:lineRule="auto"/>
      <w:ind w:left="200" w:leftChars="200"/>
    </w:pPr>
    <w:rPr>
      <w:szCs w:val="22"/>
    </w:rPr>
  </w:style>
  <w:style w:type="paragraph" w:styleId="3">
    <w:name w:val="footer"/>
    <w:basedOn w:val="1"/>
    <w:uiPriority w:val="0"/>
    <w:pPr>
      <w:tabs>
        <w:tab w:val="center" w:pos="4153"/>
        <w:tab w:val="right" w:pos="8306"/>
      </w:tabs>
      <w:snapToGrid w:val="0"/>
      <w:jc w:val="left"/>
    </w:pPr>
    <w:rPr>
      <w:sz w:val="18"/>
    </w:rPr>
  </w:style>
  <w:style w:type="paragraph" w:styleId="4">
    <w:name w:val="header"/>
    <w:basedOn w:val="1"/>
    <w:qFormat/>
    <w:uiPriority w:val="0"/>
    <w:pPr>
      <w:pBdr>
        <w:top w:val="none" w:color="auto" w:sz="0" w:space="1"/>
        <w:left w:val="none" w:color="auto" w:sz="0" w:space="4"/>
        <w:bottom w:val="none" w:color="auto" w:sz="0" w:space="1"/>
        <w:right w:val="none" w:color="auto" w:sz="0" w:space="4"/>
      </w:pBdr>
      <w:tabs>
        <w:tab w:val="center" w:pos="4153"/>
        <w:tab w:val="right" w:pos="8306"/>
      </w:tabs>
      <w:snapToGrid w:val="0"/>
      <w:spacing w:line="240" w:lineRule="auto"/>
      <w:jc w:val="both"/>
      <w:outlineLvl w:val="9"/>
    </w:pPr>
    <w:rPr>
      <w:sz w:val="18"/>
    </w:rPr>
  </w:style>
  <w:style w:type="character" w:styleId="7">
    <w:name w:val="Emphasis"/>
    <w:basedOn w:val="6"/>
    <w:qFormat/>
    <w:uiPriority w:val="0"/>
    <w:rPr>
      <w:i/>
    </w:rPr>
  </w:style>
  <w:style w:type="character" w:customStyle="1" w:styleId="8">
    <w:name w:val="NormalCharacter"/>
    <w:qFormat/>
    <w:uiPriority w:val="0"/>
  </w:style>
</w:styles>
</file>

<file path=word/_rels/document.xml.rels><?xml version="1.0" encoding="UTF-8" standalone="yes"?>
<Relationships xmlns="http://schemas.openxmlformats.org/package/2006/relationships"><Relationship Id="rId7" Type="http://schemas.openxmlformats.org/officeDocument/2006/relationships/fontTable" Target="fontTable.xml"/><Relationship Id="rId6" Type="http://schemas.openxmlformats.org/officeDocument/2006/relationships/numbering" Target="numbering.xml"/><Relationship Id="rId5" Type="http://schemas.openxmlformats.org/officeDocument/2006/relationships/customXml" Target="../customXml/item1.xml"/><Relationship Id="rId4" Type="http://schemas.openxmlformats.org/officeDocument/2006/relationships/theme" Target="theme/theme1.xml"/><Relationship Id="rId3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/>
  <customShpExts>
    <customShpInfo spid="_x0000_s1026" textRotate="1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3</Pages>
  <Words>1172</Words>
  <Characters>1188</Characters>
  <Lines>0</Lines>
  <Paragraphs>0</Paragraphs>
  <TotalTime>13</TotalTime>
  <ScaleCrop>false</ScaleCrop>
  <LinksUpToDate>false</LinksUpToDate>
  <CharactersWithSpaces>1188</CharactersWithSpaces>
  <Application>WPS Office_12.1.0.26375_F1E327BC-269C-435d-A152-05C5408002CA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2023-10-18T06:28:00Z</dcterms:created>
  <dc:creator>王佳迎ō</dc:creator>
  <cp:lastModifiedBy> </cp:lastModifiedBy>
  <cp:lastPrinted>2024-10-24T07:12:00Z</cp:lastPrinted>
  <dcterms:modified xsi:type="dcterms:W3CDTF">2026-05-25T05:44:29Z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2052-12.1.0.26375</vt:lpwstr>
  </property>
  <property fmtid="{D5CDD505-2E9C-101B-9397-08002B2CF9AE}" pid="3" name="ICV">
    <vt:lpwstr>1C06C63A10CE4801BC78EFEC78D837F3_13</vt:lpwstr>
  </property>
  <property fmtid="{D5CDD505-2E9C-101B-9397-08002B2CF9AE}" pid="4" name="KSOTemplateDocerSaveRecord">
    <vt:lpwstr>eyJoZGlkIjoiODQ1MjYzZWJlNWUzNTVlMzc4ZmZlOGM3NzZjYzNjZWUiLCJ1c2VySWQiOiI1MjE0Njk2MjAifQ==</vt:lpwstr>
  </property>
</Properties>
</file>