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新邱区人民政府办公室关于印发新邱区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</w:rPr>
        <w:t>推进街道财政管理体制改革的实施方案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</w:rPr>
        <w:t>新政办发〔2019〕36号</w:t>
      </w:r>
    </w:p>
    <w:bookmarkEnd w:id="0"/>
    <w:p>
      <w:pPr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长营子镇政府、各街道办事处，区政府各部门，驻区各单位：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经区政府同意，现将《新邱区推进街道财政管理体制改革实施方案》印发给你们，请结合实际，认真贯彻落实。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新邱区人民政府办公室</w:t>
      </w:r>
    </w:p>
    <w:p>
      <w:pPr>
        <w:adjustRightInd w:val="0"/>
        <w:snapToGrid w:val="0"/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2019年6月27日</w:t>
      </w:r>
    </w:p>
    <w:p>
      <w:pPr>
        <w:adjustRightInd w:val="0"/>
        <w:snapToGrid w:val="0"/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（此件公开发布）</w:t>
      </w:r>
    </w:p>
    <w:p>
      <w:pPr>
        <w:spacing w:line="600" w:lineRule="exact"/>
        <w:jc w:val="both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600" w:lineRule="exact"/>
        <w:jc w:val="both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新邱区推进街道财政管理体制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</w:rPr>
        <w:t>改革的实施方案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贯彻落实《辽宁省推进县域经济发展全面建成小康社会三年行动计划（2018年—2020年）》和《加快实施突破辽西北发展三年攻坚计划》任务要求，激发街道发展经济的内生动力和活力，促进城区经济发展，市委、市政府决定实施街道财政改革，逐步建立和完善全市街道财政管理体制，依照《关于推进全市街道财政管理体制改革的指导意</w:t>
      </w:r>
      <w:r>
        <w:rPr>
          <w:rFonts w:hint="eastAsia" w:ascii="仿宋_GB2312" w:eastAsia="仿宋_GB2312"/>
          <w:color w:val="000000"/>
          <w:sz w:val="32"/>
          <w:szCs w:val="32"/>
        </w:rPr>
        <w:t>见》，并结合我区经济发展情况，特制定本方案。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一、指导思想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以习近平新时代中国特色社会主义思想为指导，按照十九大报告加快建立现代财政制度的战略部署以及省委、省政府、市委、市政府关于发展县域和城区经济的要求，解决我区街道经济发展缓慢问题，通过逐步建立和完善财政体制，赋予街道经济管理职能，调动街道招商引资、协税护税、发展经济、当家理财的积极性，推动城区经济快速发展，壮大财政实力，增强街道的社会事务、环境治理、社区服务、社会稳定的公共服务能力，让街区经济成为充满活力的发展单元，促进我区和街道协调统一发展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二、基本原则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（一）促进统筹平衡。建立规范的财政性转移支付制度，正确处理和统筹兼顾区、街道利益，提高区级政府对全局性事务的保障能力，实现区街经济和社会事业协调统一发展。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强化激励效应。建立区和街道收入分成财政体制，发挥财政体制的调节和引导作用，有效激励街道招商引资、协税护税，制定激励办法，调动和保护街道创新创业的积极性和主动性，壮大街道经济，增加街道收入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结合我区实际情况，街道不再设立金库，科学划定区与街道两级政府承担的财权、事权，实行分级管理，分级负责，明确区与街道财政关系，完善招商项目税收分享制度，充分发挥街道因地制宜加强区域内事务管理的优势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（四）坚持依法治税。严格执行税收政策，强化执法力度，做到依法征收、应收尽收，为纳税人营造诚信、公平竞争、有序的良好税收环境。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三、区街财政管理体制基本内容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（一）核定收入基数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2018年街道范围内所有各类企业和个体工商户缴纳的税收收入，形成区级一般公共预算收入为基数，按照年初人代会批准的收入增幅比例，核定街道年度一般公共预算收入任务。（具体收入基数由区财政局核定，税务部门配合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（二）事权与支出责任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区财政支出范围：各街道办事处工资性支出由区本级负责、运转经费区本级负责50%，核定任务完成后，给予剩余50%的经费。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街道支出范围：如未完成核定任务，剩余50%的运转经费由街道办事处自行解决。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对街道办事处的环境治理、武装、安全生产、信访维稳、民生等方面的支出由区本级承担。具体支出项目和资金所需额度，按照《预算法》相关程序，报区财政审核、区政府核定，区人大批准。</w:t>
      </w:r>
    </w:p>
    <w:p>
      <w:pPr>
        <w:spacing w:line="600" w:lineRule="exact"/>
        <w:ind w:firstLine="480" w:firstLineChars="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（三）实行增量分成政策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任务完成情况按季度考核，街道办事处完成当季财政收入任务，由区财政按照人大批准的预算按季度全额拨付保运转资金；当季实际收入超过任务部分，区与街道办事处按照8:2比例分成奖励。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四、相关政策和要求</w:t>
      </w:r>
    </w:p>
    <w:p>
      <w:pPr>
        <w:spacing w:line="60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“飞地经济”共享收入范围。鼓励街道招商引资，对金融、保险、现代流通、电商、总部经济等企业落户在街道区域内的，其缴纳的税收形成的一般公共预算收入20%部分计入招商街道收入；落户在其他街道范围的生产加工企业，其缴纳税收形成的一般公共预算收入30%部分计入招商街道。</w:t>
      </w:r>
    </w:p>
    <w:p>
      <w:pPr>
        <w:spacing w:line="60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（二）严格划分区与街道、街道与街道收入范围。加强对个体工商户零散税源的监管，防止税收“跑、冒、滴、漏”，整顿税收秩序，确保税收足额入库，严禁街道之间乱拉税源，违者等额扣减财力。</w:t>
      </w:r>
    </w:p>
    <w:p>
      <w:pPr>
        <w:spacing w:line="60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（三）街道分成部分涉及上划省级四税财力及上划市总额分成财力，由区财政从街道分成收入中代扣。</w:t>
      </w:r>
    </w:p>
    <w:p>
      <w:pPr>
        <w:spacing w:line="60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（四）税收优惠政策。区委、区政府出台的招商引资税收优惠政策，由区财政局执行，按照分成比例共同承担。</w:t>
      </w:r>
    </w:p>
    <w:p>
      <w:pPr>
        <w:spacing w:line="60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（五）街道要认真开展税源调查工作，掌握底数。积极与税务部门沟通，挖掘本辖区内税源潜力，将税源变成收入。同时要积极开展招商引资工作，增加税源。</w:t>
      </w:r>
    </w:p>
    <w:p>
      <w:pPr>
        <w:spacing w:line="60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（六）建立激励约束机制。对街道办事处新引进的阜新市域外企业或项目（新税源），自项目投产年份起，</w:t>
      </w:r>
      <w:r>
        <w:rPr>
          <w:rFonts w:eastAsia="仿宋_GB2312"/>
          <w:sz w:val="32"/>
          <w:szCs w:val="32"/>
        </w:rPr>
        <w:t>缴纳税收形成的财政收入，</w:t>
      </w:r>
      <w:r>
        <w:rPr>
          <w:rFonts w:ascii="Times New Roman" w:hAnsi="Times New Roman" w:eastAsia="仿宋_GB2312"/>
          <w:sz w:val="32"/>
          <w:szCs w:val="32"/>
        </w:rPr>
        <w:t>前5年全部返还项目引进街道，5年后按5：5分成，具体方案</w:t>
      </w:r>
      <w:r>
        <w:rPr>
          <w:rFonts w:eastAsia="仿宋_GB2312"/>
          <w:sz w:val="32"/>
          <w:szCs w:val="32"/>
        </w:rPr>
        <w:t>由区财政局负责制定。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五、加强组织领导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为推进区街财政管理体制改革工作的顺利实施，成立由区委常委、副区长为组长的区推进街道财政管理体制改革领导小组，领导小组下设办公室在区财政局，负责领导小组的统筹协调和日常工作。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本方案</w:t>
      </w:r>
      <w:r>
        <w:rPr>
          <w:rFonts w:ascii="Times New Roman" w:hAnsi="Times New Roman" w:eastAsia="仿宋_GB2312"/>
          <w:color w:val="000000"/>
          <w:sz w:val="32"/>
          <w:szCs w:val="32"/>
        </w:rPr>
        <w:t>自2019年7月1日起实行，如遇中央、省、市政策调整，涉及街道方面，区对</w:t>
      </w:r>
      <w:r>
        <w:rPr>
          <w:rFonts w:hint="eastAsia" w:ascii="仿宋_GB2312" w:eastAsia="仿宋_GB2312"/>
          <w:color w:val="000000"/>
          <w:sz w:val="32"/>
          <w:szCs w:val="32"/>
        </w:rPr>
        <w:t>街道相应调整财政体制。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附件：新邱区推进街道财政管理体制改革领导小组成员名单</w:t>
      </w:r>
    </w:p>
    <w:p>
      <w:pPr>
        <w:spacing w:line="60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附件</w:t>
      </w:r>
    </w:p>
    <w:p>
      <w:pPr>
        <w:spacing w:line="600" w:lineRule="exact"/>
        <w:ind w:firstLine="1320" w:firstLineChars="300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新邱区推进街道财政管理体制改革</w:t>
      </w:r>
    </w:p>
    <w:p>
      <w:pPr>
        <w:spacing w:line="600" w:lineRule="exact"/>
        <w:ind w:firstLine="2860" w:firstLineChars="65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领导小组成员名单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spacing w:line="600" w:lineRule="exact"/>
        <w:ind w:firstLine="627" w:firstLineChars="19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组  长：王  柱   区委常委、常务副区长</w:t>
      </w:r>
    </w:p>
    <w:p>
      <w:pPr>
        <w:spacing w:line="600" w:lineRule="exact"/>
        <w:ind w:firstLine="627" w:firstLineChars="19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副组长：伊晓光   副区长</w:t>
      </w:r>
    </w:p>
    <w:p>
      <w:pPr>
        <w:spacing w:line="600" w:lineRule="exact"/>
        <w:ind w:firstLine="627" w:firstLineChars="19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秦福成   副区长、区财政局局长</w:t>
      </w:r>
    </w:p>
    <w:p>
      <w:pPr>
        <w:spacing w:line="600" w:lineRule="exact"/>
        <w:ind w:firstLine="627" w:firstLineChars="19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成  员：赵会良   区政府办主任</w:t>
      </w:r>
    </w:p>
    <w:p>
      <w:pPr>
        <w:spacing w:line="600" w:lineRule="exact"/>
        <w:ind w:firstLine="627" w:firstLineChars="19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敖士纯   区发改局局长</w:t>
      </w:r>
    </w:p>
    <w:p>
      <w:pPr>
        <w:spacing w:line="600" w:lineRule="exact"/>
        <w:ind w:firstLine="1904" w:firstLineChars="59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王  靖   区税务局局长</w:t>
      </w:r>
    </w:p>
    <w:p>
      <w:pPr>
        <w:spacing w:line="600" w:lineRule="exact"/>
        <w:ind w:firstLine="627" w:firstLineChars="19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石玉明   区工信局局长</w:t>
      </w:r>
    </w:p>
    <w:p>
      <w:pPr>
        <w:spacing w:line="600" w:lineRule="exact"/>
        <w:ind w:firstLine="627" w:firstLineChars="19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张  浩   区审计局局长</w:t>
      </w:r>
    </w:p>
    <w:p>
      <w:pPr>
        <w:spacing w:line="600" w:lineRule="exact"/>
        <w:ind w:firstLine="1904" w:firstLineChars="59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高  峰   兴隆街道办事处主任</w:t>
      </w:r>
    </w:p>
    <w:p>
      <w:pPr>
        <w:spacing w:line="600" w:lineRule="exact"/>
        <w:ind w:firstLine="1904" w:firstLineChars="59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张  军   新发街道办事处主任</w:t>
      </w:r>
    </w:p>
    <w:p>
      <w:pPr>
        <w:spacing w:line="600" w:lineRule="exact"/>
        <w:ind w:firstLine="1904" w:firstLineChars="59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王  永   益民街道办事处主任</w:t>
      </w:r>
    </w:p>
    <w:p>
      <w:pPr>
        <w:spacing w:line="600" w:lineRule="exact"/>
        <w:ind w:firstLine="1904" w:firstLineChars="59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刘  超   中兴街道办事处主任</w:t>
      </w:r>
    </w:p>
    <w:p>
      <w:pPr>
        <w:spacing w:line="600" w:lineRule="exact"/>
        <w:ind w:firstLine="627" w:firstLineChars="19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田  宇   区财政局副局长</w:t>
      </w:r>
    </w:p>
    <w:p>
      <w:pPr>
        <w:spacing w:line="600" w:lineRule="exact"/>
        <w:ind w:firstLine="627" w:firstLineChars="196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领导小组下设办公室在区财政局，承担领导小组统筹协调和日常工作，办公室主任由秦福成同志兼任，副主任由田宇同志兼任，联系电话：2861922。</w:t>
      </w:r>
    </w:p>
    <w:p>
      <w:pPr>
        <w:adjustRightInd w:val="0"/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eastAsia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阜新市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新邱区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人民政府发布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阜新市</w:t>
    </w:r>
    <w:r>
      <w:rPr>
        <w:rFonts w:hint="eastAsia" w:ascii="宋体" w:hAnsi="宋体" w:cs="宋体"/>
        <w:b/>
        <w:bCs/>
        <w:color w:val="005192"/>
        <w:sz w:val="32"/>
        <w:szCs w:val="32"/>
        <w:lang w:val="en-US" w:eastAsia="zh-CN"/>
      </w:rPr>
      <w:t>新邱区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人民政府规范性文件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YTA3ODAxZWEwM2ZiZmQ2YjhhYmJjYmI3MDUwMDUifQ=="/>
  </w:docVars>
  <w:rsids>
    <w:rsidRoot w:val="29F93AA1"/>
    <w:rsid w:val="02CC3DD3"/>
    <w:rsid w:val="05E97064"/>
    <w:rsid w:val="0B3F4918"/>
    <w:rsid w:val="0F2E03D5"/>
    <w:rsid w:val="10A6318C"/>
    <w:rsid w:val="160D3A15"/>
    <w:rsid w:val="1C58533C"/>
    <w:rsid w:val="1FDB3C5F"/>
    <w:rsid w:val="231821C4"/>
    <w:rsid w:val="25891872"/>
    <w:rsid w:val="26222159"/>
    <w:rsid w:val="28405372"/>
    <w:rsid w:val="29F93AA1"/>
    <w:rsid w:val="3E3A62D6"/>
    <w:rsid w:val="426042E3"/>
    <w:rsid w:val="47E87F11"/>
    <w:rsid w:val="49482EB4"/>
    <w:rsid w:val="4B816D82"/>
    <w:rsid w:val="4ECF7116"/>
    <w:rsid w:val="4EE84D58"/>
    <w:rsid w:val="4F4564A7"/>
    <w:rsid w:val="52A22E8C"/>
    <w:rsid w:val="52AC1807"/>
    <w:rsid w:val="56631AA5"/>
    <w:rsid w:val="58334413"/>
    <w:rsid w:val="59441762"/>
    <w:rsid w:val="5AD96A01"/>
    <w:rsid w:val="5AF53360"/>
    <w:rsid w:val="5B791466"/>
    <w:rsid w:val="64367C08"/>
    <w:rsid w:val="68376C8E"/>
    <w:rsid w:val="68C4419F"/>
    <w:rsid w:val="6D185E9C"/>
    <w:rsid w:val="6E243387"/>
    <w:rsid w:val="6E3D4575"/>
    <w:rsid w:val="78803867"/>
    <w:rsid w:val="7953633B"/>
    <w:rsid w:val="7C0F6C70"/>
    <w:rsid w:val="7DC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1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9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6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5">
    <w:name w:val="font23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20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7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b/>
      <w:bCs/>
      <w:color w:val="000000"/>
      <w:sz w:val="52"/>
      <w:szCs w:val="52"/>
      <w:u w:val="none"/>
    </w:rPr>
  </w:style>
  <w:style w:type="character" w:customStyle="1" w:styleId="19">
    <w:name w:val="font13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0">
    <w:name w:val="font8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2184</Words>
  <Characters>2223</Characters>
  <Lines>0</Lines>
  <Paragraphs>0</Paragraphs>
  <TotalTime>1</TotalTime>
  <ScaleCrop>false</ScaleCrop>
  <LinksUpToDate>false</LinksUpToDate>
  <CharactersWithSpaces>2322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2021-11-12T08:37:00Z</dcterms:created>
  <dc:creator>A羊娃娃</dc:creator>
  <cp:lastModifiedBy>A羊娃娃</cp:lastModifiedBy>
  <dcterms:modified xsi:type="dcterms:W3CDTF">2023-05-31T06:14:18Z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CA7F891381EC47DFA5442414A34690C9_13</vt:lpwstr>
  </property>
</Properties>
</file>